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C3D" w:rsidRDefault="00BB7C3D" w:rsidP="00BB7C3D">
      <w:pPr>
        <w:spacing w:after="0" w:line="240" w:lineRule="auto"/>
        <w:jc w:val="right"/>
        <w:outlineLvl w:val="2"/>
        <w:rPr>
          <w:rFonts w:ascii="Times New Roman" w:eastAsia="Times New Roman" w:hAnsi="Times New Roman"/>
          <w:b/>
          <w:bCs/>
          <w:i/>
          <w:color w:val="000000"/>
          <w:sz w:val="24"/>
          <w:szCs w:val="24"/>
          <w:lang w:eastAsia="bg-BG"/>
        </w:rPr>
      </w:pPr>
      <w:bookmarkStart w:id="0" w:name="_GoBack"/>
      <w:bookmarkEnd w:id="0"/>
    </w:p>
    <w:p w:rsidR="00723E00" w:rsidRPr="0053494A" w:rsidRDefault="00723E00" w:rsidP="00BB7C3D">
      <w:pPr>
        <w:spacing w:after="0" w:line="240" w:lineRule="auto"/>
        <w:jc w:val="right"/>
        <w:outlineLvl w:val="2"/>
        <w:rPr>
          <w:rFonts w:ascii="Times New Roman" w:eastAsia="Times New Roman" w:hAnsi="Times New Roman"/>
          <w:b/>
          <w:bCs/>
          <w:i/>
          <w:color w:val="000000"/>
          <w:sz w:val="24"/>
          <w:szCs w:val="24"/>
          <w:lang w:eastAsia="bg-BG"/>
        </w:rPr>
      </w:pPr>
      <w:r w:rsidRPr="0053494A">
        <w:rPr>
          <w:rFonts w:ascii="Times New Roman" w:eastAsia="Times New Roman" w:hAnsi="Times New Roman"/>
          <w:b/>
          <w:bCs/>
          <w:i/>
          <w:color w:val="000000"/>
          <w:sz w:val="24"/>
          <w:szCs w:val="24"/>
          <w:lang w:eastAsia="bg-BG"/>
        </w:rPr>
        <w:t>Приложение 1</w:t>
      </w:r>
      <w:r w:rsidR="00114163">
        <w:rPr>
          <w:rFonts w:ascii="Times New Roman" w:eastAsia="Times New Roman" w:hAnsi="Times New Roman"/>
          <w:b/>
          <w:bCs/>
          <w:i/>
          <w:color w:val="000000"/>
          <w:sz w:val="24"/>
          <w:szCs w:val="24"/>
          <w:lang w:eastAsia="bg-BG"/>
        </w:rPr>
        <w:t>7</w:t>
      </w:r>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Pr="0053494A"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ПРИЛОЖЕНИЕ I КЪМ</w:t>
      </w:r>
      <w:r w:rsidRPr="0053494A">
        <w:rPr>
          <w:rFonts w:ascii="Times New Roman" w:hAnsi="Times New Roman"/>
          <w:b/>
          <w:sz w:val="24"/>
          <w:szCs w:val="24"/>
        </w:rPr>
        <w:t xml:space="preserve">  </w:t>
      </w:r>
      <w:r w:rsidRPr="0053494A">
        <w:rPr>
          <w:rFonts w:ascii="Times New Roman" w:eastAsia="Times New Roman" w:hAnsi="Times New Roman"/>
          <w:b/>
          <w:bCs/>
          <w:color w:val="000000"/>
          <w:sz w:val="24"/>
          <w:szCs w:val="24"/>
          <w:lang w:eastAsia="bg-BG"/>
        </w:rPr>
        <w:t>ДИРЕКТИВА 2003/87/ЕО НА ЕВРОПЕЙСКИЯ ПАРЛАМЕНТ И НА СЪВЕТА</w:t>
      </w:r>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от 13 октомври 2003 година</w:t>
      </w:r>
    </w:p>
    <w:p w:rsidR="00BB7C3D" w:rsidRPr="0053494A"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 xml:space="preserve">за установяване на схема за търговия с квоти за емисии на парникови газове в рамките на </w:t>
      </w:r>
      <w:r w:rsidR="00535F74" w:rsidRPr="00C1106C">
        <w:rPr>
          <w:rFonts w:ascii="Times New Roman" w:eastAsia="Times New Roman" w:hAnsi="Times New Roman"/>
          <w:b/>
          <w:bCs/>
          <w:color w:val="000000"/>
          <w:sz w:val="24"/>
          <w:szCs w:val="24"/>
          <w:lang w:eastAsia="bg-BG"/>
        </w:rPr>
        <w:t>Съ</w:t>
      </w:r>
      <w:r w:rsidR="00535F74">
        <w:rPr>
          <w:rFonts w:ascii="Times New Roman" w:eastAsia="Times New Roman" w:hAnsi="Times New Roman"/>
          <w:b/>
          <w:bCs/>
          <w:color w:val="000000"/>
          <w:sz w:val="24"/>
          <w:szCs w:val="24"/>
          <w:lang w:eastAsia="bg-BG"/>
        </w:rPr>
        <w:t>юза</w:t>
      </w:r>
      <w:r w:rsidRPr="0053494A">
        <w:rPr>
          <w:rFonts w:ascii="Times New Roman" w:eastAsia="Times New Roman" w:hAnsi="Times New Roman"/>
          <w:b/>
          <w:bCs/>
          <w:color w:val="000000"/>
          <w:sz w:val="24"/>
          <w:szCs w:val="24"/>
          <w:lang w:eastAsia="bg-BG"/>
        </w:rPr>
        <w:t xml:space="preserve"> и за изменение на Директива 96/61/ЕО на Съвета</w:t>
      </w:r>
    </w:p>
    <w:p w:rsidR="00BB7C3D" w:rsidRPr="0053494A"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both"/>
        <w:rPr>
          <w:rFonts w:ascii="Times New Roman" w:eastAsia="Times New Roman" w:hAnsi="Times New Roman"/>
          <w:bCs/>
          <w:color w:val="000000"/>
          <w:sz w:val="24"/>
          <w:szCs w:val="24"/>
          <w:lang w:eastAsia="bg-BG"/>
        </w:rPr>
      </w:pPr>
      <w:bookmarkStart w:id="1" w:name="to_paragraph_id5761870"/>
      <w:bookmarkEnd w:id="1"/>
      <w:r w:rsidRPr="0053494A">
        <w:rPr>
          <w:rFonts w:ascii="Times New Roman" w:eastAsia="Times New Roman" w:hAnsi="Times New Roman"/>
          <w:bCs/>
          <w:color w:val="000000"/>
          <w:sz w:val="24"/>
          <w:szCs w:val="24"/>
          <w:lang w:eastAsia="bg-BG"/>
        </w:rPr>
        <w:t>КАТЕГОРИИ ДЕЙНОСТИ, ЗА КОИТО СЕ ПРИЛАГА НАСТОЯЩАТА ДИРЕКТИВА</w:t>
      </w:r>
      <w:r w:rsidR="00BB7C3D">
        <w:rPr>
          <w:rFonts w:ascii="Times New Roman" w:eastAsia="Times New Roman" w:hAnsi="Times New Roman"/>
          <w:bCs/>
          <w:color w:val="000000"/>
          <w:sz w:val="24"/>
          <w:szCs w:val="24"/>
          <w:lang w:eastAsia="bg-BG"/>
        </w:rPr>
        <w:t>:</w:t>
      </w:r>
    </w:p>
    <w:p w:rsidR="00BB7C3D" w:rsidRPr="0053494A" w:rsidRDefault="00BB7C3D" w:rsidP="00BB7C3D">
      <w:pPr>
        <w:spacing w:after="0" w:line="240" w:lineRule="auto"/>
        <w:jc w:val="both"/>
        <w:rPr>
          <w:rFonts w:ascii="Times New Roman" w:eastAsia="Times New Roman" w:hAnsi="Times New Roman"/>
          <w:color w:val="000000"/>
          <w:sz w:val="24"/>
          <w:szCs w:val="24"/>
          <w:lang w:eastAsia="bg-BG"/>
        </w:rPr>
      </w:pP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1. </w:t>
      </w:r>
      <w:r w:rsidR="006B4006" w:rsidRPr="006B4006">
        <w:rPr>
          <w:rFonts w:ascii="Times New Roman" w:eastAsia="Times New Roman" w:hAnsi="Times New Roman"/>
          <w:color w:val="000000"/>
          <w:sz w:val="24"/>
          <w:szCs w:val="24"/>
          <w:lang w:eastAsia="bg-BG"/>
        </w:rPr>
        <w:t>Настоящата директива не обхваща инсталациите или частите от инсталации, които се използват за изследване, разработване и изпитване на нови продукти и процеси. Настоящата директива не обхваща инсталациите, когато през съответния предходен петгодишен период, посочен в член 11, параграф 1, втора алинея, емисиите от изгарянето на биомаса, отговаряща на критериите, определени съгласно член 14, допринасят средно за повече от 95</w:t>
      </w:r>
      <w:r w:rsidR="00535F74">
        <w:rPr>
          <w:rFonts w:ascii="Times New Roman" w:eastAsia="Times New Roman" w:hAnsi="Times New Roman"/>
          <w:color w:val="000000"/>
          <w:sz w:val="24"/>
          <w:szCs w:val="24"/>
          <w:lang w:eastAsia="bg-BG"/>
        </w:rPr>
        <w:t xml:space="preserve"> </w:t>
      </w:r>
      <w:r w:rsidR="006B4006" w:rsidRPr="006B4006">
        <w:rPr>
          <w:rFonts w:ascii="Times New Roman" w:eastAsia="Times New Roman" w:hAnsi="Times New Roman"/>
          <w:color w:val="000000"/>
          <w:sz w:val="24"/>
          <w:szCs w:val="24"/>
          <w:lang w:eastAsia="bg-BG"/>
        </w:rPr>
        <w:t>% от средната стойност на общите емисии на парникови газове.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2. Праговите стойности, посочени по-долу, обикновено се отнасят до производствени мощности или продукция. Когато няколко дейности, попадащи в една и съща категория, се извършват в една и съща инсталация, мощностите на тези дейности се сумират.</w:t>
      </w:r>
    </w:p>
    <w:p w:rsidR="00723E00" w:rsidRPr="0053494A" w:rsidRDefault="0067156B" w:rsidP="00C1106C">
      <w:pPr>
        <w:spacing w:before="120" w:after="0" w:line="240" w:lineRule="auto"/>
        <w:ind w:firstLine="425"/>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3. </w:t>
      </w:r>
      <w:r w:rsidRPr="0067156B">
        <w:rPr>
          <w:rFonts w:ascii="Times New Roman" w:eastAsia="Times New Roman" w:hAnsi="Times New Roman"/>
          <w:color w:val="000000"/>
          <w:sz w:val="24"/>
          <w:szCs w:val="24"/>
          <w:lang w:eastAsia="bg-BG"/>
        </w:rPr>
        <w:t>Когато се изчислява общата номинална топлинна мощност на дадена инсталация, за да се вземе решение дали тя да бъде включена в СТЕ на ЕС, се сумират номиналните топлинни мощности на всички технически съоръжения, които са част от нея и в които горивата се изгарят в рамките на инсталацията. Тези съоръжения може да включват всякакви видове котли, факелни тръби, турбини, нагреватели, топилни, инсинератори, пещи за калциниране, пещи за изпичане, пещи, сушилни, двигатели, горивни елементи, съоръжения за циклично химическо изгаряне, запалителни устройства и термични или каталитични съоръжения за доизгаряне. Съоръжения с номинална топлинна мощност под 3 MW не се вземат предвид за целите на посоченото изчисление.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4. Ако дадено съоръжение служи за дейност, за която праговата стойност не е изразена като обща номинална топлинна мощност, праговата стойност на тази дейност има предимство при вземането на решение за включването в </w:t>
      </w:r>
      <w:r w:rsidR="00535F74" w:rsidRPr="00535F74">
        <w:rPr>
          <w:rFonts w:ascii="Times New Roman" w:eastAsia="Times New Roman" w:hAnsi="Times New Roman"/>
          <w:color w:val="000000"/>
          <w:sz w:val="24"/>
          <w:szCs w:val="24"/>
          <w:lang w:eastAsia="bg-BG"/>
        </w:rPr>
        <w:t>СТЕ на ЕС</w:t>
      </w:r>
      <w:r w:rsidRPr="0053494A">
        <w:rPr>
          <w:rFonts w:ascii="Times New Roman" w:eastAsia="Times New Roman" w:hAnsi="Times New Roman"/>
          <w:color w:val="000000"/>
          <w:sz w:val="24"/>
          <w:szCs w:val="24"/>
          <w:lang w:eastAsia="bg-BG"/>
        </w:rPr>
        <w:t>.</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5. Когато се установи, че в дадена инсталация е превишена праговата стойност на мощността на която и да е дейност по настоящото приложение, всички съоръжения, в които се изгарят горива, различни от съоръженията за изгаряне на опасни или твърди битови отпадъци, се включват в разрешителното за емисии на парникови газове.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6. От 1 януари 2012 г. се включват всички полети, които пристигат на или заминават от летище, разположено на територията на държава-членка, за която се прилага Договорът.</w:t>
      </w:r>
    </w:p>
    <w:p w:rsidR="0053494A" w:rsidRPr="0053494A" w:rsidRDefault="0053494A" w:rsidP="00C1106C">
      <w:pPr>
        <w:spacing w:after="0" w:line="240" w:lineRule="auto"/>
        <w:ind w:firstLine="426"/>
        <w:jc w:val="both"/>
        <w:rPr>
          <w:rFonts w:ascii="Times New Roman" w:eastAsia="Times New Roman" w:hAnsi="Times New Roman"/>
          <w:color w:val="000000"/>
          <w:sz w:val="24"/>
          <w:szCs w:val="24"/>
          <w:lang w:eastAsia="bg-BG"/>
        </w:rPr>
      </w:pPr>
    </w:p>
    <w:p w:rsidR="00723E00" w:rsidRDefault="00723E00" w:rsidP="00C1106C">
      <w:pPr>
        <w:spacing w:after="0" w:line="240" w:lineRule="auto"/>
        <w:ind w:firstLine="426"/>
        <w:jc w:val="both"/>
        <w:rPr>
          <w:rFonts w:ascii="Times New Roman" w:eastAsia="Times New Roman" w:hAnsi="Times New Roman"/>
          <w:color w:val="000000"/>
          <w:sz w:val="24"/>
          <w:szCs w:val="24"/>
          <w:lang w:eastAsia="bg-BG"/>
        </w:rPr>
      </w:pPr>
    </w:p>
    <w:p w:rsidR="00BB7C3D" w:rsidRPr="0053494A" w:rsidRDefault="00BB7C3D" w:rsidP="00BB7C3D">
      <w:pPr>
        <w:spacing w:after="0" w:line="240" w:lineRule="auto"/>
        <w:ind w:firstLine="990"/>
        <w:jc w:val="both"/>
        <w:rPr>
          <w:rFonts w:ascii="Times New Roman" w:eastAsia="Times New Roman" w:hAnsi="Times New Roman"/>
          <w:color w:val="000000"/>
          <w:sz w:val="24"/>
          <w:szCs w:val="24"/>
          <w:lang w:eastAsia="bg-BG"/>
        </w:rPr>
      </w:pPr>
    </w:p>
    <w:p w:rsidR="00F80CA8" w:rsidRPr="00F80CA8" w:rsidRDefault="00F80CA8" w:rsidP="00BB7C3D">
      <w:pPr>
        <w:spacing w:after="0" w:line="240" w:lineRule="auto"/>
        <w:rPr>
          <w:rFonts w:ascii="Times New Roman" w:eastAsia="Times New Roman" w:hAnsi="Times New Roman"/>
          <w:sz w:val="24"/>
          <w:szCs w:val="24"/>
          <w:lang w:eastAsia="bg-BG"/>
        </w:rPr>
      </w:pPr>
    </w:p>
    <w:tbl>
      <w:tblPr>
        <w:tblW w:w="8904"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76"/>
        <w:gridCol w:w="1928"/>
      </w:tblGrid>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Дейности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Парникови газове</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Изгаряне на горива в инсталации с обща номинална топлинна мощност, превишаваща 20 MW (с изключение на изгарянето в инсталации за изгаряне на опасни или твърди битови отпадъци)</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2024 г., изгарянето на горива в инсталации за изгарянето на твърди битови отпадъци с обща номинална топлинна мощност, превишаваща 20 MW, за целите на членове 14 и 15.</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Рафиниране на нефт с използването на горивни съоръжения с обща номинална топлинна мощност над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кокс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Пържене и агломерация, включително гранулиране, на метална руда (включително сулфидна руда)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желязо или стомана (първично или вторично стапяне), включително непрекъснато леене, с капацитет над 2,5 тона на час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черни метали (включително феросплави) в случай на използване на горивни съоръжения с обща номинална топлинна мощност, превишаваща 20 MW. Преработката включва, </w:t>
            </w:r>
            <w:r w:rsidRPr="00BB7C3D">
              <w:rPr>
                <w:rFonts w:ascii="Times New Roman" w:eastAsia="Times New Roman" w:hAnsi="Times New Roman"/>
                <w:i/>
                <w:iCs/>
                <w:color w:val="333333"/>
                <w:szCs w:val="20"/>
                <w:lang w:eastAsia="bg-BG"/>
              </w:rPr>
              <w:t>inter alia</w:t>
            </w:r>
            <w:r w:rsidRPr="00BB7C3D">
              <w:rPr>
                <w:rFonts w:ascii="Times New Roman" w:eastAsia="Times New Roman" w:hAnsi="Times New Roman"/>
                <w:color w:val="333333"/>
                <w:szCs w:val="20"/>
                <w:lang w:eastAsia="bg-BG"/>
              </w:rPr>
              <w:t>, прокатни станове, междинни подгреватели, пещи за отвръщане, ковашки цехове, леярни, цехове за нанасяне на покритие и байцване</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първичен алуминий или диалуминиев триоксид</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перфлуоровъглероди</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вторичен алуминий при използването на горивни съоръжения с обща номинална топлинна мощност,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цветни метали, включително производство на сплави, рафиниране, леене и др., в случай на използване на горивни съоръжения с обща номинална топлинна мощност (включително горива, използвани като редуциращи агенти),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циментен клинкер в ротационни пещи с производствен капацитет над 500 тона дневно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варовик или калциниране на доломит и магнезит в ротационни пещи за изпичане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стъкло, включително стъклени влакна, с топилен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Изработване на керамични продукти чрез изпичане, по-конкретно покривни керемиди, тухли, огнеупорни тухли, плочи, каменинови или порцеланови изделия, с производствен капацитет над 75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изолационни материали от минерална вата с използване на стъкло, камък или шлака, с капацитет на топене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Сушене или изпичане на гипс или производство на гипсови панели или други продукти от гипс с производствен капацитет за калциниран гипс или изсушен вторичен гипс, надвишаващ общо 20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целулозен пулп от дървесина или сходни влакнести материали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хартия или картон с производствен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сажди с карбонизиране на органични вещества като масла, катран, остатъци от крекинг и дестилация, с производствен капацитет над 50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азотна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 xml:space="preserve">Въглероден диоксид </w:t>
            </w:r>
            <w:r w:rsidRPr="00BB7C3D">
              <w:rPr>
                <w:rFonts w:ascii="Times New Roman" w:eastAsia="Times New Roman" w:hAnsi="Times New Roman"/>
                <w:color w:val="333333"/>
                <w:szCs w:val="20"/>
                <w:lang w:eastAsia="bg-BG"/>
              </w:rPr>
              <w:lastRenderedPageBreak/>
              <w:t>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Производство на адипинова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глиоксалова и глиоксилова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амоняк</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органични химически вещества в насипно или наливно състояние чрез крекинг, реформинг, частично или пълно окисляване или чрез подобни процеси, с производствен капацитет, превишаващ 100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водород (H</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 и синтетичен газ с производствен капацитет над 5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калцинирана сода (Na</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 и на натриев бикарбонат (NaHCO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Улавяне на парникови газове от инсталации, попадащи в приложното поле на настоящата директива, с цел пренос и съхранение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Транспортиране на парникови газове за съхранение в геоложки формации в място за съхранение, получило разрешение съгласно Директива 2009/31/ЕО, с изключение на емисиите, обхванати от друга дейност съгласно настоящата директива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Съхранение на парникови газове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2A750A" w:rsidRDefault="00F80CA8" w:rsidP="00472103">
            <w:pPr>
              <w:spacing w:after="0" w:line="240" w:lineRule="auto"/>
              <w:jc w:val="both"/>
              <w:rPr>
                <w:color w:val="333333"/>
                <w:szCs w:val="20"/>
              </w:rPr>
            </w:pPr>
            <w:r w:rsidRPr="00BB7C3D">
              <w:rPr>
                <w:rFonts w:ascii="Times New Roman" w:eastAsia="Times New Roman" w:hAnsi="Times New Roman"/>
                <w:color w:val="333333"/>
                <w:szCs w:val="20"/>
                <w:lang w:eastAsia="bg-BG"/>
              </w:rPr>
              <w:t>Въздухоплаване  </w:t>
            </w:r>
            <w:r w:rsidRPr="00BB7C3D">
              <w:rPr>
                <w:rFonts w:ascii="Times New Roman" w:eastAsia="Times New Roman" w:hAnsi="Times New Roman"/>
                <w:color w:val="333333"/>
                <w:szCs w:val="20"/>
                <w:lang w:eastAsia="bg-BG"/>
              </w:rPr>
              <w:br/>
            </w:r>
            <w:r w:rsidR="008A5036" w:rsidRPr="00472103">
              <w:rPr>
                <w:rFonts w:ascii="Times New Roman" w:eastAsia="Times New Roman" w:hAnsi="Times New Roman"/>
                <w:color w:val="333333"/>
                <w:szCs w:val="20"/>
                <w:lang w:eastAsia="bg-BG"/>
              </w:rPr>
              <w:t>Полети, които заминават от или пристигат на летище, разположено на територията на държава-членка, за която се прилага Договорът.</w:t>
            </w:r>
            <w:r w:rsidR="008A5036" w:rsidRPr="008A5036">
              <w:rPr>
                <w:rFonts w:ascii="Times New Roman" w:eastAsia="Times New Roman" w:hAnsi="Times New Roman"/>
                <w:color w:val="333333"/>
                <w:szCs w:val="20"/>
                <w:lang w:eastAsia="bg-BG"/>
              </w:rPr>
              <w:t xml:space="preserve"> </w:t>
            </w:r>
          </w:p>
          <w:p w:rsidR="002A750A"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Тази дейност не включва:</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а)  полети, извършвани единствено за транспортиране по официален повод на управляващ монарх и най-близките му роднини, на държавни ръководители, правителствени ръководители и министри на държави, които не са държави-членки, когато това е подкрепено от съответното указание за характера на полета в летателния план;</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б)  военни полети, извършвани от военни въздухоплавателни средства, и полети на митническите и полицейските служби;</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в)  полети, свързани с издирвателни и спасителни операции, полети с противопожарна цел, хуманитарни полети и полети за оказване на спешна медицинска помощ, които са разрешени от съответния компетентен орган;</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г)  всички полети, извършвани изключително по правилата за визуални полети, както са определени в приложение 2 към Чикагската конвенция;</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д)  полети, завършващи на летището, от което е излетяло въздухоплавателното средство, и по време на които не са извършвани междинни кацания;</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е)  тренировъчни полети, проведени изключително с цел получаване на свидетелство или на клас, когато става въпрос за летателен екипаж, когато това е подкрепено от съответната забележка в летателния план, при условие че полетът не служи за превоз на пътници и/или товари или за позициониране или превоз на въздухоплавателното средство;</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ж)  полети, извършвани изключително с цел провеждане на научни изследвания или проверка, изпитване или издаване на свидетелство за въздухоплавателното средство или оборудване, независимо дали е предназначено за летене или за наземна работа;</w:t>
            </w:r>
          </w:p>
          <w:p w:rsidR="002A750A"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з)  полети, извършвани от въздухоплавателни средства с удостоверено максимално тегло при излитане, по-малко от 5 700  kg;</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и)  полети, извършвани в рамките на задължения за предоставяне на обществени услуги, наложени в съответствие с Регламент (ЕИО) № 2408/92, по маршрути в най-отдалечените региони, определени в член 299, параграф 2 от Договора, или по маршрути, при които предложеният капацитет не надвишава</w:t>
            </w:r>
            <w:r w:rsidRPr="008A5036">
              <w:rPr>
                <w:rFonts w:ascii="Times New Roman" w:eastAsia="Times New Roman" w:hAnsi="Times New Roman"/>
                <w:color w:val="333333"/>
                <w:szCs w:val="20"/>
                <w:lang w:eastAsia="bg-BG"/>
              </w:rPr>
              <w:t xml:space="preserve"> </w:t>
            </w:r>
            <w:r w:rsidRPr="00472103">
              <w:rPr>
                <w:rFonts w:ascii="Times New Roman" w:eastAsia="Times New Roman" w:hAnsi="Times New Roman"/>
                <w:color w:val="333333"/>
                <w:szCs w:val="20"/>
                <w:lang w:eastAsia="bg-BG"/>
              </w:rPr>
              <w:t>50 000 </w:t>
            </w:r>
            <w:r w:rsidRPr="008A5036">
              <w:rPr>
                <w:rFonts w:ascii="Times New Roman" w:eastAsia="Times New Roman" w:hAnsi="Times New Roman"/>
                <w:color w:val="333333"/>
                <w:szCs w:val="20"/>
                <w:lang w:eastAsia="bg-BG"/>
              </w:rPr>
              <w:t> </w:t>
            </w:r>
            <w:r w:rsidRPr="00472103">
              <w:rPr>
                <w:rFonts w:ascii="Times New Roman" w:eastAsia="Times New Roman" w:hAnsi="Times New Roman"/>
                <w:color w:val="333333"/>
                <w:szCs w:val="20"/>
                <w:lang w:eastAsia="bg-BG"/>
              </w:rPr>
              <w:t>на година;</w:t>
            </w:r>
          </w:p>
          <w:p w:rsidR="008A5036"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lastRenderedPageBreak/>
              <w:t>й)  полети, които, с изключение на посочените в настоящата буква, биха попаднали в тази дейност и които се извършват от оператори на търговски транспортни полети, които извършват или:</w:t>
            </w:r>
          </w:p>
          <w:p w:rsidR="008A5036" w:rsidRPr="00472103" w:rsidRDefault="008A5036" w:rsidP="00472103">
            <w:pPr>
              <w:spacing w:after="0" w:line="240" w:lineRule="auto"/>
              <w:jc w:val="both"/>
              <w:rPr>
                <w:rFonts w:ascii="Times New Roman" w:hAnsi="Times New Roman"/>
                <w:color w:val="333333"/>
                <w:szCs w:val="20"/>
              </w:rPr>
            </w:pPr>
            <w:r w:rsidRPr="00472103">
              <w:rPr>
                <w:rFonts w:ascii="Times New Roman" w:eastAsia="Times New Roman" w:hAnsi="Times New Roman" w:hint="eastAsia"/>
                <w:color w:val="333333"/>
                <w:szCs w:val="20"/>
                <w:lang w:eastAsia="bg-BG"/>
              </w:rPr>
              <w:t>— по</w:t>
            </w:r>
            <w:r w:rsidRPr="00472103">
              <w:rPr>
                <w:rFonts w:ascii="Times New Roman" w:eastAsia="Times New Roman" w:hAnsi="Times New Roman"/>
                <w:color w:val="333333"/>
                <w:szCs w:val="20"/>
                <w:lang w:eastAsia="bg-BG"/>
              </w:rPr>
              <w:t>-</w:t>
            </w:r>
            <w:r w:rsidRPr="00472103">
              <w:rPr>
                <w:rFonts w:ascii="Times New Roman" w:eastAsia="Times New Roman" w:hAnsi="Times New Roman" w:hint="eastAsia"/>
                <w:color w:val="333333"/>
                <w:szCs w:val="20"/>
                <w:lang w:eastAsia="bg-BG"/>
              </w:rPr>
              <w:t>малко</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от</w:t>
            </w:r>
            <w:r w:rsidRPr="00472103">
              <w:rPr>
                <w:rFonts w:ascii="Times New Roman" w:eastAsia="Times New Roman" w:hAnsi="Times New Roman"/>
                <w:color w:val="333333"/>
                <w:szCs w:val="20"/>
                <w:lang w:eastAsia="bg-BG"/>
              </w:rPr>
              <w:t xml:space="preserve"> 243 </w:t>
            </w:r>
            <w:r w:rsidRPr="00472103">
              <w:rPr>
                <w:rFonts w:ascii="Times New Roman" w:eastAsia="Times New Roman" w:hAnsi="Times New Roman" w:hint="eastAsia"/>
                <w:color w:val="333333"/>
                <w:szCs w:val="20"/>
                <w:lang w:eastAsia="bg-BG"/>
              </w:rPr>
              <w:t>полета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за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период</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от</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три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последователни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четиримесечия</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или</w:t>
            </w: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hint="eastAsia"/>
                <w:color w:val="333333"/>
                <w:szCs w:val="20"/>
                <w:lang w:eastAsia="bg-BG"/>
              </w:rPr>
              <w:t>— полети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с</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общи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годишни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емисии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под</w:t>
            </w:r>
            <w:r w:rsidRPr="00472103">
              <w:rPr>
                <w:rFonts w:ascii="Times New Roman" w:eastAsia="Times New Roman" w:hAnsi="Times New Roman"/>
                <w:color w:val="333333"/>
                <w:szCs w:val="20"/>
                <w:lang w:eastAsia="bg-BG"/>
              </w:rPr>
              <w:t xml:space="preserve"> 10</w:t>
            </w:r>
            <w:r w:rsidRPr="00472103">
              <w:rPr>
                <w:rFonts w:ascii="Times New Roman" w:eastAsia="Times New Roman" w:hAnsi="Times New Roman" w:hint="eastAsia"/>
                <w:color w:val="333333"/>
                <w:szCs w:val="20"/>
                <w:lang w:eastAsia="bg-BG"/>
              </w:rPr>
              <w:t> </w:t>
            </w:r>
            <w:r w:rsidRPr="00472103">
              <w:rPr>
                <w:rFonts w:ascii="Times New Roman" w:eastAsia="Times New Roman" w:hAnsi="Times New Roman"/>
                <w:color w:val="333333"/>
                <w:szCs w:val="20"/>
                <w:lang w:eastAsia="bg-BG"/>
              </w:rPr>
              <w:t xml:space="preserve">000 </w:t>
            </w:r>
            <w:r w:rsidRPr="00472103">
              <w:rPr>
                <w:rFonts w:ascii="Times New Roman" w:eastAsia="Times New Roman" w:hAnsi="Times New Roman" w:hint="eastAsia"/>
                <w:color w:val="333333"/>
                <w:szCs w:val="20"/>
                <w:lang w:eastAsia="bg-BG"/>
              </w:rPr>
              <w:t> тона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на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година</w:t>
            </w:r>
            <w:r w:rsidRPr="00472103">
              <w:rPr>
                <w:rFonts w:ascii="Times New Roman" w:eastAsia="Times New Roman" w:hAnsi="Times New Roman"/>
                <w:color w:val="333333"/>
                <w:szCs w:val="20"/>
                <w:lang w:eastAsia="bg-BG"/>
              </w:rPr>
              <w:t>.</w:t>
            </w:r>
          </w:p>
          <w:p w:rsidR="002A750A" w:rsidRDefault="002A750A" w:rsidP="008A5036">
            <w:pPr>
              <w:spacing w:after="0" w:line="240" w:lineRule="auto"/>
              <w:jc w:val="both"/>
              <w:rPr>
                <w:rFonts w:ascii="Times New Roman" w:eastAsia="Times New Roman" w:hAnsi="Times New Roman"/>
                <w:color w:val="333333"/>
                <w:szCs w:val="20"/>
                <w:lang w:eastAsia="bg-BG"/>
              </w:rPr>
            </w:pPr>
          </w:p>
          <w:p w:rsidR="002A750A"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Полетите, посочени в букви л) и м), или извършени изключително за превоз в рамките на официална мисия на управляващи монарси и най-близките им роднини; на държавни глави, правителствени ръководители и правителствени министри на държавите членки не могат да бъдат изключвани по тази буква; </w:t>
            </w:r>
          </w:p>
          <w:p w:rsidR="002A750A" w:rsidRDefault="002A750A" w:rsidP="008A5036">
            <w:pPr>
              <w:spacing w:after="0" w:line="240" w:lineRule="auto"/>
              <w:jc w:val="both"/>
              <w:rPr>
                <w:rFonts w:ascii="Times New Roman" w:eastAsia="Times New Roman" w:hAnsi="Times New Roman"/>
                <w:color w:val="333333"/>
                <w:szCs w:val="20"/>
                <w:lang w:eastAsia="bg-BG"/>
              </w:rPr>
            </w:pP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к)  от 1 януари 2013 г. до 31 декември 2030 г., полети, които с изключение на настоящата буква, биха попаднали в тази дейност, и осъществени от нетърговски оператор на въздухоплавателни средства, извършващ полети с общи годишни емисии под 1 000  тона годишно (включително емисии от полети, посочени в букви л) и м); </w:t>
            </w: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л)  полети от летища, разположени в Швейцария, до летища, разположени в ЕИП;  </w:t>
            </w:r>
            <w:r w:rsidRPr="00472103">
              <w:rPr>
                <w:rFonts w:ascii="Times New Roman" w:eastAsia="Times New Roman" w:hAnsi="Times New Roman"/>
                <w:color w:val="333333"/>
                <w:szCs w:val="20"/>
                <w:lang w:eastAsia="bg-BG"/>
              </w:rPr>
              <w:br/>
              <w:t>м)  полети от летища, разположени в Обединеното кралство, до летища, разположени в ЕИП.</w:t>
            </w:r>
          </w:p>
          <w:p w:rsidR="002A750A" w:rsidRPr="008A5036" w:rsidRDefault="002A750A" w:rsidP="008A5036">
            <w:pPr>
              <w:spacing w:after="0" w:line="240" w:lineRule="auto"/>
              <w:jc w:val="both"/>
              <w:rPr>
                <w:rFonts w:ascii="Times New Roman" w:eastAsia="Times New Roman" w:hAnsi="Times New Roman"/>
                <w:color w:val="333333"/>
                <w:szCs w:val="20"/>
                <w:lang w:eastAsia="bg-BG"/>
              </w:rPr>
            </w:pP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Полети между летища, разположени в две различни държави, изброени в акта за изпълнение, приет съгласно член 25а, параграф 3, и полети между Швейцария или Обединеното кралство и държави, изброени в акта за изпълнение, приет съгласно член 25а, параграф 3, и за целите на член 12, параграфи 6 и 8 и член 28в — всеки друг полет между летища, разположени в две различни трети държави, от оператори на въздухоплавателни средства, които отговарят на всички посочени по-долу условия:</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а)  операторите на въздухоплавателни средства притежават свидетелство за авиационен оператор, издадено от държава членка, или са регистрирани в държава членка, включително в най-отдалечените региони, зависимите територии и териториите на тази държава членка; 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б)  те произвеждат годишни емисии на CO2 над 10 000  тона от използването на самолети с максимална сертифицирана излетна маса, по-голяма от 5 700  kg, които изпълняват полети, попадащи в обхвата на настоящото приложение, различни от тези, които заминават от и пристигат в същата държава членка, включително най-отдалечените региони на същата държава членка, считано от 1 януари 2021 г.; за целите на настоящата точка не се вземат предвид емисиите от следните видове полети: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  държавни полети;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ii)  полети с хуманитарни цели;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iii)  полети за медицински цели;</w:t>
            </w:r>
          </w:p>
          <w:p w:rsidR="008A5036" w:rsidRPr="008A5036"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iv)  военни полети;</w:t>
            </w:r>
          </w:p>
          <w:p w:rsidR="008A5036" w:rsidRPr="008A5036"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v)  полети за гасене на пожари;</w:t>
            </w:r>
          </w:p>
          <w:p w:rsidR="00F80CA8" w:rsidRPr="00BB7C3D"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vi)  полети преди или след хуманитарен или медицински полет или полет за гасене на пожар, при условие че тези полети са извършени със същите въздухоплавателни средства и са били необходими за извършването на съответните хуманитарни, медицински или противопожарни дейности или за преместването на въздухоплавателното средство след тези дейности за следващата му дейност.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Морски транспорт</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Дейности в областта на морския транспорт, попадащи в обхвата на Регламент (ЕС) 2015/757, с изключение на дейностите в областта на морския транспорт, попадащи в обхвата на член 2, параграф 1а, и до 31 декември 2026 г. — на член 2, параграф 1б от посочения регламент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2026 г., метан и диазотен оксид</w:t>
            </w:r>
          </w:p>
        </w:tc>
      </w:tr>
    </w:tbl>
    <w:p w:rsidR="003E5DFC" w:rsidRPr="00F80CA8" w:rsidRDefault="003E5DFC" w:rsidP="00BB7C3D">
      <w:pPr>
        <w:spacing w:after="0" w:line="240" w:lineRule="auto"/>
        <w:rPr>
          <w:rFonts w:ascii="Times New Roman" w:hAnsi="Times New Roman"/>
          <w:sz w:val="24"/>
          <w:szCs w:val="24"/>
        </w:rPr>
      </w:pPr>
    </w:p>
    <w:sectPr w:rsidR="003E5DFC" w:rsidRPr="00F80CA8" w:rsidSect="0053494A">
      <w:headerReference w:type="even" r:id="rId8"/>
      <w:headerReference w:type="default" r:id="rId9"/>
      <w:footerReference w:type="even" r:id="rId10"/>
      <w:footerReference w:type="default" r:id="rId11"/>
      <w:headerReference w:type="first" r:id="rId12"/>
      <w:footerReference w:type="first" r:id="rId13"/>
      <w:pgSz w:w="11906" w:h="16838"/>
      <w:pgMar w:top="1418" w:right="1531" w:bottom="1418"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798" w:rsidRDefault="00462798" w:rsidP="00402ACA">
      <w:pPr>
        <w:spacing w:after="0" w:line="240" w:lineRule="auto"/>
      </w:pPr>
      <w:r>
        <w:separator/>
      </w:r>
    </w:p>
  </w:endnote>
  <w:endnote w:type="continuationSeparator" w:id="0">
    <w:p w:rsidR="00462798" w:rsidRDefault="00462798"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43E" w:rsidRDefault="00CD1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rsidR="00991CB4" w:rsidRDefault="00057C17">
        <w:pPr>
          <w:pStyle w:val="Footer"/>
          <w:jc w:val="right"/>
        </w:pPr>
        <w:r>
          <w:fldChar w:fldCharType="begin"/>
        </w:r>
        <w:r w:rsidR="00991CB4">
          <w:instrText xml:space="preserve"> PAGE   \* MERGEFORMAT </w:instrText>
        </w:r>
        <w:r>
          <w:fldChar w:fldCharType="separate"/>
        </w:r>
        <w:r w:rsidR="00CD2EEE">
          <w:rPr>
            <w:noProof/>
          </w:rPr>
          <w:t>1</w:t>
        </w:r>
        <w:r>
          <w:rPr>
            <w:noProof/>
          </w:rPr>
          <w:fldChar w:fldCharType="end"/>
        </w:r>
      </w:p>
    </w:sdtContent>
  </w:sdt>
  <w:p w:rsidR="008B1316" w:rsidRDefault="008B1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43E" w:rsidRDefault="00CD1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798" w:rsidRDefault="00462798" w:rsidP="00402ACA">
      <w:pPr>
        <w:spacing w:after="0" w:line="240" w:lineRule="auto"/>
      </w:pPr>
      <w:r>
        <w:separator/>
      </w:r>
    </w:p>
  </w:footnote>
  <w:footnote w:type="continuationSeparator" w:id="0">
    <w:p w:rsidR="00462798" w:rsidRDefault="00462798" w:rsidP="00402A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52" w:rsidRDefault="00984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ACA" w:rsidRDefault="00522F04" w:rsidP="00522F04">
    <w:pPr>
      <w:pStyle w:val="Header"/>
      <w:tabs>
        <w:tab w:val="clear" w:pos="4536"/>
      </w:tabs>
    </w:pPr>
    <w:r w:rsidRPr="00522F04">
      <w:rPr>
        <w:rFonts w:ascii="Times New Roman" w:eastAsia="Times New Roman" w:hAnsi="Times New Roman"/>
        <w:i/>
        <w:noProof/>
        <w:sz w:val="24"/>
        <w:szCs w:val="24"/>
        <w:lang w:eastAsia="bg-BG"/>
      </w:rPr>
      <w:drawing>
        <wp:inline distT="0" distB="0" distL="0" distR="0">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Times New Roman" w:eastAsia="Times New Roman" w:hAnsi="Times New Roman"/>
        <w:i/>
        <w:noProof/>
        <w:sz w:val="24"/>
        <w:szCs w:val="24"/>
        <w:lang w:eastAsia="bg-BG"/>
      </w:rPr>
      <w:t xml:space="preserve">                                 </w:t>
    </w:r>
    <w:r w:rsidRPr="00522F04">
      <w:rPr>
        <w:rFonts w:ascii="Times New Roman" w:eastAsia="Times New Roman" w:hAnsi="Times New Roman"/>
        <w:i/>
        <w:noProof/>
        <w:sz w:val="24"/>
        <w:szCs w:val="24"/>
        <w:lang w:eastAsia="bg-BG"/>
      </w:rPr>
      <w:drawing>
        <wp:inline distT="0" distB="0" distL="0" distR="0">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52" w:rsidRDefault="00984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2ACA"/>
    <w:rsid w:val="00011E4B"/>
    <w:rsid w:val="00052C76"/>
    <w:rsid w:val="00057C17"/>
    <w:rsid w:val="000A6D9B"/>
    <w:rsid w:val="000A7D1B"/>
    <w:rsid w:val="000B6072"/>
    <w:rsid w:val="000C72E1"/>
    <w:rsid w:val="000F4DE9"/>
    <w:rsid w:val="00112ACA"/>
    <w:rsid w:val="00114163"/>
    <w:rsid w:val="00146F68"/>
    <w:rsid w:val="001925A8"/>
    <w:rsid w:val="001A28C4"/>
    <w:rsid w:val="001C4400"/>
    <w:rsid w:val="002262CD"/>
    <w:rsid w:val="002665DE"/>
    <w:rsid w:val="002A750A"/>
    <w:rsid w:val="002B70A3"/>
    <w:rsid w:val="002D3045"/>
    <w:rsid w:val="002E65D8"/>
    <w:rsid w:val="002F2EFA"/>
    <w:rsid w:val="0033559F"/>
    <w:rsid w:val="0034268B"/>
    <w:rsid w:val="0035732F"/>
    <w:rsid w:val="00381B2D"/>
    <w:rsid w:val="00392C0D"/>
    <w:rsid w:val="00397070"/>
    <w:rsid w:val="003A35BB"/>
    <w:rsid w:val="003C05E1"/>
    <w:rsid w:val="003C31CA"/>
    <w:rsid w:val="003C4032"/>
    <w:rsid w:val="003D1FDC"/>
    <w:rsid w:val="003E07BC"/>
    <w:rsid w:val="003E2AA6"/>
    <w:rsid w:val="003E4A81"/>
    <w:rsid w:val="003E5DFC"/>
    <w:rsid w:val="003F11B3"/>
    <w:rsid w:val="003F127D"/>
    <w:rsid w:val="00402ACA"/>
    <w:rsid w:val="0040632C"/>
    <w:rsid w:val="0040728E"/>
    <w:rsid w:val="00410461"/>
    <w:rsid w:val="0042512A"/>
    <w:rsid w:val="0044329C"/>
    <w:rsid w:val="00454C6D"/>
    <w:rsid w:val="00456C38"/>
    <w:rsid w:val="004613D2"/>
    <w:rsid w:val="00462798"/>
    <w:rsid w:val="00472103"/>
    <w:rsid w:val="00487A24"/>
    <w:rsid w:val="00493BA5"/>
    <w:rsid w:val="0049736B"/>
    <w:rsid w:val="004D78D8"/>
    <w:rsid w:val="00522F04"/>
    <w:rsid w:val="0053494A"/>
    <w:rsid w:val="00535F74"/>
    <w:rsid w:val="00541617"/>
    <w:rsid w:val="005501C6"/>
    <w:rsid w:val="005554EA"/>
    <w:rsid w:val="005A2D63"/>
    <w:rsid w:val="005C6AC1"/>
    <w:rsid w:val="005D7EF9"/>
    <w:rsid w:val="005F04C4"/>
    <w:rsid w:val="00622EF3"/>
    <w:rsid w:val="00645185"/>
    <w:rsid w:val="00653BDD"/>
    <w:rsid w:val="006564B8"/>
    <w:rsid w:val="0067156B"/>
    <w:rsid w:val="006811D9"/>
    <w:rsid w:val="00687EAD"/>
    <w:rsid w:val="00691015"/>
    <w:rsid w:val="006A15AA"/>
    <w:rsid w:val="006A535F"/>
    <w:rsid w:val="006A54F4"/>
    <w:rsid w:val="006A7414"/>
    <w:rsid w:val="006B4006"/>
    <w:rsid w:val="006B43D7"/>
    <w:rsid w:val="006C46DB"/>
    <w:rsid w:val="006E063B"/>
    <w:rsid w:val="006E64F4"/>
    <w:rsid w:val="00707B43"/>
    <w:rsid w:val="007159A1"/>
    <w:rsid w:val="0072000D"/>
    <w:rsid w:val="00723E00"/>
    <w:rsid w:val="007311CC"/>
    <w:rsid w:val="00734A59"/>
    <w:rsid w:val="0075278D"/>
    <w:rsid w:val="00763DB7"/>
    <w:rsid w:val="007757C0"/>
    <w:rsid w:val="00791E18"/>
    <w:rsid w:val="00791E37"/>
    <w:rsid w:val="007A423B"/>
    <w:rsid w:val="007C094D"/>
    <w:rsid w:val="007D3A3A"/>
    <w:rsid w:val="007D5FB0"/>
    <w:rsid w:val="007F019E"/>
    <w:rsid w:val="008137F7"/>
    <w:rsid w:val="00816DDA"/>
    <w:rsid w:val="008652E5"/>
    <w:rsid w:val="008A2B53"/>
    <w:rsid w:val="008A5036"/>
    <w:rsid w:val="008B1316"/>
    <w:rsid w:val="008D4237"/>
    <w:rsid w:val="008D45CE"/>
    <w:rsid w:val="009622AE"/>
    <w:rsid w:val="00971248"/>
    <w:rsid w:val="0098334F"/>
    <w:rsid w:val="00984A52"/>
    <w:rsid w:val="00991CB4"/>
    <w:rsid w:val="0099667C"/>
    <w:rsid w:val="009A0149"/>
    <w:rsid w:val="009B2846"/>
    <w:rsid w:val="009C5EB8"/>
    <w:rsid w:val="009D4213"/>
    <w:rsid w:val="009D49EC"/>
    <w:rsid w:val="00A049DA"/>
    <w:rsid w:val="00A05ADF"/>
    <w:rsid w:val="00A233EA"/>
    <w:rsid w:val="00A2514B"/>
    <w:rsid w:val="00A25708"/>
    <w:rsid w:val="00A5465B"/>
    <w:rsid w:val="00A62A1B"/>
    <w:rsid w:val="00A721A0"/>
    <w:rsid w:val="00A77E88"/>
    <w:rsid w:val="00A81310"/>
    <w:rsid w:val="00A81893"/>
    <w:rsid w:val="00A82A33"/>
    <w:rsid w:val="00A94C80"/>
    <w:rsid w:val="00A95615"/>
    <w:rsid w:val="00AA22E0"/>
    <w:rsid w:val="00AB368B"/>
    <w:rsid w:val="00AD22F2"/>
    <w:rsid w:val="00AE7396"/>
    <w:rsid w:val="00AF4B34"/>
    <w:rsid w:val="00B02714"/>
    <w:rsid w:val="00B035FE"/>
    <w:rsid w:val="00B12845"/>
    <w:rsid w:val="00B16862"/>
    <w:rsid w:val="00B175A1"/>
    <w:rsid w:val="00B4545E"/>
    <w:rsid w:val="00B61BE9"/>
    <w:rsid w:val="00B74D95"/>
    <w:rsid w:val="00B9758F"/>
    <w:rsid w:val="00BA5767"/>
    <w:rsid w:val="00BB25A9"/>
    <w:rsid w:val="00BB7C3D"/>
    <w:rsid w:val="00BE46BF"/>
    <w:rsid w:val="00C1106C"/>
    <w:rsid w:val="00C13066"/>
    <w:rsid w:val="00C161DD"/>
    <w:rsid w:val="00C454F2"/>
    <w:rsid w:val="00C47C4D"/>
    <w:rsid w:val="00C5662F"/>
    <w:rsid w:val="00C62008"/>
    <w:rsid w:val="00C63107"/>
    <w:rsid w:val="00C7282F"/>
    <w:rsid w:val="00CA50C2"/>
    <w:rsid w:val="00CA7836"/>
    <w:rsid w:val="00CD143E"/>
    <w:rsid w:val="00CD2EEE"/>
    <w:rsid w:val="00CE4009"/>
    <w:rsid w:val="00CF6C86"/>
    <w:rsid w:val="00D43F14"/>
    <w:rsid w:val="00D551E4"/>
    <w:rsid w:val="00D9252F"/>
    <w:rsid w:val="00DB64CB"/>
    <w:rsid w:val="00DE6316"/>
    <w:rsid w:val="00E02F22"/>
    <w:rsid w:val="00E03ADD"/>
    <w:rsid w:val="00E066E6"/>
    <w:rsid w:val="00E12556"/>
    <w:rsid w:val="00E22914"/>
    <w:rsid w:val="00E44CEF"/>
    <w:rsid w:val="00E530D5"/>
    <w:rsid w:val="00E534F5"/>
    <w:rsid w:val="00E75E5B"/>
    <w:rsid w:val="00E80277"/>
    <w:rsid w:val="00E81D57"/>
    <w:rsid w:val="00E8373B"/>
    <w:rsid w:val="00E91B13"/>
    <w:rsid w:val="00E97B38"/>
    <w:rsid w:val="00EA0271"/>
    <w:rsid w:val="00EA40C7"/>
    <w:rsid w:val="00EB452B"/>
    <w:rsid w:val="00ED2342"/>
    <w:rsid w:val="00EF6A85"/>
    <w:rsid w:val="00F12A1D"/>
    <w:rsid w:val="00F150D2"/>
    <w:rsid w:val="00F34F47"/>
    <w:rsid w:val="00F3655F"/>
    <w:rsid w:val="00F4459A"/>
    <w:rsid w:val="00F531A1"/>
    <w:rsid w:val="00F53AD0"/>
    <w:rsid w:val="00F75BE4"/>
    <w:rsid w:val="00F80CA8"/>
    <w:rsid w:val="00FC0AF4"/>
    <w:rsid w:val="00FE6133"/>
    <w:rsid w:val="00FE7700"/>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38970B-9713-4437-B471-EFB6F9D6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paragraph" w:customStyle="1" w:styleId="tbl-norm">
    <w:name w:val="tbl-norm"/>
    <w:basedOn w:val="Normal"/>
    <w:rsid w:val="008A5036"/>
    <w:pPr>
      <w:spacing w:before="100" w:beforeAutospacing="1" w:after="100" w:afterAutospacing="1" w:line="240" w:lineRule="auto"/>
    </w:pPr>
    <w:rPr>
      <w:rFonts w:ascii="Times New Roman" w:eastAsia="Times New Roman" w:hAnsi="Times New Roman"/>
      <w:sz w:val="24"/>
      <w:szCs w:val="24"/>
      <w:lang w:eastAsia="bg-BG"/>
    </w:rPr>
  </w:style>
  <w:style w:type="character" w:styleId="Hyperlink">
    <w:name w:val="Hyperlink"/>
    <w:basedOn w:val="DefaultParagraphFont"/>
    <w:uiPriority w:val="99"/>
    <w:semiHidden/>
    <w:unhideWhenUsed/>
    <w:rsid w:val="008A5036"/>
    <w:rPr>
      <w:color w:val="0000FF"/>
      <w:u w:val="single"/>
    </w:rPr>
  </w:style>
  <w:style w:type="character" w:customStyle="1" w:styleId="boldface">
    <w:name w:val="boldface"/>
    <w:basedOn w:val="DefaultParagraphFont"/>
    <w:rsid w:val="008A5036"/>
  </w:style>
  <w:style w:type="paragraph" w:customStyle="1" w:styleId="item-none">
    <w:name w:val="item-none"/>
    <w:basedOn w:val="Normal"/>
    <w:rsid w:val="008A5036"/>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ubscript">
    <w:name w:val="subscript"/>
    <w:basedOn w:val="DefaultParagraphFont"/>
    <w:rsid w:val="008A5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179588">
      <w:bodyDiv w:val="1"/>
      <w:marLeft w:val="0"/>
      <w:marRight w:val="0"/>
      <w:marTop w:val="0"/>
      <w:marBottom w:val="0"/>
      <w:divBdr>
        <w:top w:val="none" w:sz="0" w:space="0" w:color="auto"/>
        <w:left w:val="none" w:sz="0" w:space="0" w:color="auto"/>
        <w:bottom w:val="none" w:sz="0" w:space="0" w:color="auto"/>
        <w:right w:val="none" w:sz="0" w:space="0" w:color="auto"/>
      </w:divBdr>
      <w:divsChild>
        <w:div w:id="305284960">
          <w:marLeft w:val="240"/>
          <w:marRight w:val="0"/>
          <w:marTop w:val="0"/>
          <w:marBottom w:val="0"/>
          <w:divBdr>
            <w:top w:val="none" w:sz="0" w:space="0" w:color="auto"/>
            <w:left w:val="none" w:sz="0" w:space="0" w:color="auto"/>
            <w:bottom w:val="none" w:sz="0" w:space="0" w:color="auto"/>
            <w:right w:val="none" w:sz="0" w:space="0" w:color="auto"/>
          </w:divBdr>
        </w:div>
        <w:div w:id="1465735088">
          <w:marLeft w:val="240"/>
          <w:marRight w:val="0"/>
          <w:marTop w:val="0"/>
          <w:marBottom w:val="0"/>
          <w:divBdr>
            <w:top w:val="none" w:sz="0" w:space="0" w:color="auto"/>
            <w:left w:val="none" w:sz="0" w:space="0" w:color="auto"/>
            <w:bottom w:val="none" w:sz="0" w:space="0" w:color="auto"/>
            <w:right w:val="none" w:sz="0" w:space="0" w:color="auto"/>
          </w:divBdr>
        </w:div>
      </w:divsChild>
    </w:div>
    <w:div w:id="1246836654">
      <w:bodyDiv w:val="1"/>
      <w:marLeft w:val="0"/>
      <w:marRight w:val="0"/>
      <w:marTop w:val="0"/>
      <w:marBottom w:val="0"/>
      <w:divBdr>
        <w:top w:val="none" w:sz="0" w:space="0" w:color="auto"/>
        <w:left w:val="none" w:sz="0" w:space="0" w:color="auto"/>
        <w:bottom w:val="none" w:sz="0" w:space="0" w:color="auto"/>
        <w:right w:val="none" w:sz="0" w:space="0" w:color="auto"/>
      </w:divBdr>
      <w:divsChild>
        <w:div w:id="810638516">
          <w:marLeft w:val="240"/>
          <w:marRight w:val="0"/>
          <w:marTop w:val="0"/>
          <w:marBottom w:val="0"/>
          <w:divBdr>
            <w:top w:val="none" w:sz="0" w:space="0" w:color="auto"/>
            <w:left w:val="none" w:sz="0" w:space="0" w:color="auto"/>
            <w:bottom w:val="none" w:sz="0" w:space="0" w:color="auto"/>
            <w:right w:val="none" w:sz="0" w:space="0" w:color="auto"/>
          </w:divBdr>
        </w:div>
        <w:div w:id="446894710">
          <w:marLeft w:val="240"/>
          <w:marRight w:val="0"/>
          <w:marTop w:val="0"/>
          <w:marBottom w:val="0"/>
          <w:divBdr>
            <w:top w:val="none" w:sz="0" w:space="0" w:color="auto"/>
            <w:left w:val="none" w:sz="0" w:space="0" w:color="auto"/>
            <w:bottom w:val="none" w:sz="0" w:space="0" w:color="auto"/>
            <w:right w:val="none" w:sz="0" w:space="0" w:color="auto"/>
          </w:divBdr>
        </w:div>
      </w:divsChild>
    </w:div>
    <w:div w:id="14354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06B74-2928-4838-AB9A-D1B89ACFA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Adninistrator</cp:lastModifiedBy>
  <cp:revision>35</cp:revision>
  <dcterms:created xsi:type="dcterms:W3CDTF">2023-11-01T13:57:00Z</dcterms:created>
  <dcterms:modified xsi:type="dcterms:W3CDTF">2026-05-21T11:37:00Z</dcterms:modified>
</cp:coreProperties>
</file>